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1374" w14:textId="77777777" w:rsidR="00AE22C5" w:rsidRPr="008529DB" w:rsidRDefault="009A688F" w:rsidP="003F566F">
      <w:pPr>
        <w:widowControl w:val="0"/>
        <w:tabs>
          <w:tab w:val="left" w:pos="4395"/>
        </w:tabs>
        <w:ind w:right="23"/>
        <w:jc w:val="center"/>
        <w:rPr>
          <w:rFonts w:ascii="Calibri" w:eastAsia="Calibri" w:hAnsi="Calibri" w:cs="Calibri"/>
          <w:sz w:val="44"/>
          <w:szCs w:val="44"/>
        </w:rPr>
      </w:pPr>
      <w:r w:rsidRPr="008529DB">
        <w:rPr>
          <w:rFonts w:ascii="Calibri" w:eastAsia="Calibri" w:hAnsi="Calibri" w:cs="Calibri"/>
          <w:i/>
          <w:sz w:val="44"/>
          <w:szCs w:val="44"/>
        </w:rPr>
        <w:t>Call for papers</w:t>
      </w:r>
    </w:p>
    <w:p w14:paraId="5FE4EF21" w14:textId="77777777" w:rsidR="00AE22C5" w:rsidRPr="00E068FC" w:rsidRDefault="00AE22C5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133BBB2" w14:textId="4F655CCD" w:rsidR="00153EBE" w:rsidRPr="008529DB" w:rsidRDefault="00222E1E" w:rsidP="00743668">
      <w:pPr>
        <w:spacing w:line="264" w:lineRule="auto"/>
        <w:jc w:val="center"/>
        <w:rPr>
          <w:rFonts w:asciiTheme="majorHAnsi" w:eastAsia="Calibri" w:hAnsiTheme="majorHAnsi" w:cstheme="majorHAnsi"/>
          <w:sz w:val="40"/>
          <w:szCs w:val="40"/>
        </w:rPr>
      </w:pPr>
      <w:r w:rsidRPr="008529DB">
        <w:rPr>
          <w:rFonts w:asciiTheme="majorHAnsi" w:eastAsia="Calibri" w:hAnsiTheme="majorHAnsi" w:cstheme="majorHAnsi"/>
          <w:sz w:val="40"/>
          <w:szCs w:val="40"/>
        </w:rPr>
        <w:t>Gli standard, r</w:t>
      </w:r>
      <w:r w:rsidR="00153EBE" w:rsidRPr="008529DB">
        <w:rPr>
          <w:rFonts w:asciiTheme="majorHAnsi" w:eastAsia="Calibri" w:hAnsiTheme="majorHAnsi" w:cstheme="majorHAnsi"/>
          <w:sz w:val="40"/>
          <w:szCs w:val="40"/>
        </w:rPr>
        <w:t>egole condivise o strumenti di potere?</w:t>
      </w:r>
    </w:p>
    <w:p w14:paraId="4694C191" w14:textId="77777777" w:rsidR="00FF0C80" w:rsidRPr="008529DB" w:rsidRDefault="009A24CF" w:rsidP="00743668">
      <w:pPr>
        <w:spacing w:line="264" w:lineRule="auto"/>
        <w:jc w:val="center"/>
        <w:rPr>
          <w:rFonts w:asciiTheme="majorHAnsi" w:eastAsia="Calibri" w:hAnsiTheme="majorHAnsi" w:cstheme="majorHAnsi"/>
          <w:sz w:val="40"/>
          <w:szCs w:val="40"/>
        </w:rPr>
      </w:pPr>
      <w:r w:rsidRPr="008529DB">
        <w:rPr>
          <w:rFonts w:asciiTheme="majorHAnsi" w:eastAsia="Calibri" w:hAnsiTheme="majorHAnsi" w:cstheme="majorHAnsi"/>
          <w:sz w:val="40"/>
          <w:szCs w:val="40"/>
        </w:rPr>
        <w:t xml:space="preserve">La normazione tecnica e l'evoluzione dell'impresa </w:t>
      </w:r>
      <w:r w:rsidR="00153EBE" w:rsidRPr="008529DB">
        <w:rPr>
          <w:rFonts w:asciiTheme="majorHAnsi" w:eastAsia="Calibri" w:hAnsiTheme="majorHAnsi" w:cstheme="majorHAnsi"/>
          <w:sz w:val="40"/>
          <w:szCs w:val="40"/>
        </w:rPr>
        <w:br/>
      </w:r>
      <w:r w:rsidRPr="008529DB">
        <w:rPr>
          <w:rFonts w:asciiTheme="majorHAnsi" w:eastAsia="Calibri" w:hAnsiTheme="majorHAnsi" w:cstheme="majorHAnsi"/>
          <w:sz w:val="40"/>
          <w:szCs w:val="40"/>
        </w:rPr>
        <w:t xml:space="preserve">e dell'economia </w:t>
      </w:r>
      <w:r w:rsidR="00153EBE" w:rsidRPr="008529DB">
        <w:rPr>
          <w:rFonts w:asciiTheme="majorHAnsi" w:eastAsia="Calibri" w:hAnsiTheme="majorHAnsi" w:cstheme="majorHAnsi"/>
          <w:sz w:val="40"/>
          <w:szCs w:val="40"/>
        </w:rPr>
        <w:t xml:space="preserve">in età </w:t>
      </w:r>
      <w:r w:rsidRPr="008529DB">
        <w:rPr>
          <w:rFonts w:asciiTheme="majorHAnsi" w:eastAsia="Calibri" w:hAnsiTheme="majorHAnsi" w:cstheme="majorHAnsi"/>
          <w:sz w:val="40"/>
          <w:szCs w:val="40"/>
        </w:rPr>
        <w:t>contemporanea</w:t>
      </w:r>
      <w:r w:rsidR="00153EBE" w:rsidRPr="008529DB">
        <w:rPr>
          <w:rFonts w:asciiTheme="majorHAnsi" w:eastAsia="Calibri" w:hAnsiTheme="majorHAnsi" w:cstheme="majorHAnsi"/>
          <w:sz w:val="40"/>
          <w:szCs w:val="40"/>
        </w:rPr>
        <w:br/>
      </w:r>
    </w:p>
    <w:p w14:paraId="357F169C" w14:textId="53D2C24C" w:rsidR="00AE22C5" w:rsidRPr="00FF0C80" w:rsidRDefault="00FF0C80" w:rsidP="00FF0C80">
      <w:pPr>
        <w:spacing w:line="288" w:lineRule="auto"/>
        <w:jc w:val="center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a cura d</w:t>
      </w:r>
      <w:r w:rsidR="009A688F" w:rsidRPr="00FF0C80">
        <w:rPr>
          <w:rFonts w:asciiTheme="majorHAnsi" w:eastAsia="Calibri" w:hAnsiTheme="majorHAnsi" w:cstheme="majorHAnsi"/>
          <w:sz w:val="28"/>
          <w:szCs w:val="28"/>
        </w:rPr>
        <w:t xml:space="preserve">i </w:t>
      </w:r>
    </w:p>
    <w:p w14:paraId="67933643" w14:textId="2BED3E50" w:rsidR="00AE22C5" w:rsidRPr="00222E1E" w:rsidRDefault="009A24CF" w:rsidP="009A24CF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43668">
        <w:rPr>
          <w:rFonts w:asciiTheme="majorHAnsi" w:hAnsiTheme="majorHAnsi" w:cstheme="majorHAnsi"/>
          <w:color w:val="201F1E"/>
          <w:sz w:val="30"/>
          <w:szCs w:val="30"/>
        </w:rPr>
        <w:t>Gianpiero Fumi</w:t>
      </w:r>
      <w:r w:rsidRPr="00222E1E">
        <w:rPr>
          <w:rFonts w:asciiTheme="majorHAnsi" w:hAnsiTheme="majorHAnsi" w:cstheme="majorHAnsi"/>
          <w:color w:val="201F1E"/>
        </w:rPr>
        <w:t xml:space="preserve"> (</w:t>
      </w:r>
      <w:hyperlink r:id="rId11" w:history="1">
        <w:r w:rsidRPr="00222E1E">
          <w:rPr>
            <w:rStyle w:val="Collegamentoipertestuale"/>
            <w:rFonts w:asciiTheme="majorHAnsi" w:hAnsiTheme="majorHAnsi" w:cstheme="majorHAnsi"/>
          </w:rPr>
          <w:t>gianpiero.fumi@unicatt.it</w:t>
        </w:r>
      </w:hyperlink>
      <w:r w:rsidR="00E068FC">
        <w:rPr>
          <w:rFonts w:asciiTheme="majorHAnsi" w:hAnsiTheme="majorHAnsi" w:cstheme="majorHAnsi"/>
          <w:color w:val="201F1E"/>
        </w:rPr>
        <w:t xml:space="preserve">) e </w:t>
      </w:r>
      <w:r w:rsidRPr="00743668">
        <w:rPr>
          <w:rFonts w:asciiTheme="majorHAnsi" w:hAnsiTheme="majorHAnsi" w:cstheme="majorHAnsi"/>
          <w:color w:val="201F1E"/>
          <w:sz w:val="30"/>
          <w:szCs w:val="30"/>
        </w:rPr>
        <w:t>Fabio Lavista</w:t>
      </w:r>
      <w:r w:rsidRPr="00222E1E">
        <w:rPr>
          <w:rFonts w:asciiTheme="majorHAnsi" w:hAnsiTheme="majorHAnsi" w:cstheme="majorHAnsi"/>
          <w:color w:val="201F1E"/>
        </w:rPr>
        <w:t xml:space="preserve"> (</w:t>
      </w:r>
      <w:hyperlink r:id="rId12" w:history="1">
        <w:r w:rsidRPr="00222E1E">
          <w:rPr>
            <w:rStyle w:val="Collegamentoipertestuale"/>
            <w:rFonts w:asciiTheme="majorHAnsi" w:hAnsiTheme="majorHAnsi" w:cstheme="majorHAnsi"/>
          </w:rPr>
          <w:t>fabio.lavista@unipi.it</w:t>
        </w:r>
      </w:hyperlink>
      <w:r w:rsidRPr="00222E1E">
        <w:rPr>
          <w:rFonts w:asciiTheme="majorHAnsi" w:hAnsiTheme="majorHAnsi" w:cstheme="majorHAnsi"/>
          <w:color w:val="201F1E"/>
        </w:rPr>
        <w:t>)</w:t>
      </w:r>
    </w:p>
    <w:p w14:paraId="587D6AD3" w14:textId="77777777" w:rsidR="004473DE" w:rsidRDefault="004473DE" w:rsidP="00743668">
      <w:pPr>
        <w:spacing w:line="280" w:lineRule="exact"/>
        <w:ind w:firstLine="709"/>
        <w:contextualSpacing/>
        <w:jc w:val="both"/>
        <w:rPr>
          <w:rFonts w:ascii="Garamond" w:eastAsia="Garamond" w:hAnsi="Garamond" w:cs="Garamond"/>
        </w:rPr>
      </w:pPr>
    </w:p>
    <w:p w14:paraId="353B4814" w14:textId="739989EC" w:rsidR="00AE22C5" w:rsidRPr="00153EBE" w:rsidRDefault="009A688F" w:rsidP="00743668">
      <w:pPr>
        <w:spacing w:line="280" w:lineRule="exact"/>
        <w:ind w:firstLine="709"/>
        <w:contextualSpacing/>
        <w:jc w:val="both"/>
        <w:rPr>
          <w:rFonts w:ascii="Garamond" w:eastAsia="Garamond" w:hAnsi="Garamond" w:cs="Garamond"/>
        </w:rPr>
      </w:pPr>
      <w:r w:rsidRPr="00153EBE">
        <w:rPr>
          <w:rFonts w:ascii="Garamond" w:eastAsia="Garamond" w:hAnsi="Garamond" w:cs="Garamond"/>
        </w:rPr>
        <w:t>La rivista “Ricerche di Storia Economica e Sociale” propone una call per la parte monografica del fascicolo 2023/1 che sarà dedicata al tema “</w:t>
      </w:r>
      <w:r w:rsidR="00457B8D">
        <w:rPr>
          <w:rFonts w:ascii="Garamond" w:eastAsia="Garamond" w:hAnsi="Garamond" w:cs="Garamond"/>
        </w:rPr>
        <w:t>Gli standard, r</w:t>
      </w:r>
      <w:r w:rsidR="00153EBE" w:rsidRPr="00153EBE">
        <w:rPr>
          <w:rFonts w:ascii="Garamond" w:eastAsia="Garamond" w:hAnsi="Garamond" w:cs="Garamond"/>
        </w:rPr>
        <w:t>egole condivise o strumenti di potere? La normazione tecnica e l'evoluzione dell'impresa e dell'economia in età contemporanea</w:t>
      </w:r>
      <w:r w:rsidR="00502676" w:rsidRPr="00153EBE">
        <w:rPr>
          <w:rFonts w:ascii="Garamond" w:eastAsia="Garamond" w:hAnsi="Garamond" w:cs="Garamond"/>
        </w:rPr>
        <w:t>”</w:t>
      </w:r>
      <w:r w:rsidR="00153EBE" w:rsidRPr="00153EBE">
        <w:rPr>
          <w:rFonts w:ascii="Garamond" w:eastAsia="Garamond" w:hAnsi="Garamond" w:cs="Garamond"/>
        </w:rPr>
        <w:t>.</w:t>
      </w:r>
    </w:p>
    <w:p w14:paraId="097401F1" w14:textId="11AC19BD" w:rsidR="00153EBE" w:rsidRPr="003F566F" w:rsidRDefault="00153EBE" w:rsidP="00743668">
      <w:pPr>
        <w:spacing w:line="280" w:lineRule="exact"/>
        <w:ind w:firstLine="709"/>
        <w:contextualSpacing/>
        <w:jc w:val="both"/>
        <w:rPr>
          <w:rFonts w:ascii="Garamond" w:hAnsi="Garamond"/>
        </w:rPr>
      </w:pPr>
      <w:r w:rsidRPr="00153EBE">
        <w:rPr>
          <w:rFonts w:ascii="Garamond" w:hAnsi="Garamond"/>
          <w:color w:val="2E2E2E"/>
        </w:rPr>
        <w:t xml:space="preserve">Per </w:t>
      </w:r>
      <w:r>
        <w:rPr>
          <w:rFonts w:ascii="Garamond" w:hAnsi="Garamond"/>
          <w:color w:val="2E2E2E"/>
        </w:rPr>
        <w:t>“</w:t>
      </w:r>
      <w:r w:rsidRPr="00153EBE">
        <w:rPr>
          <w:rFonts w:ascii="Garamond" w:hAnsi="Garamond"/>
          <w:color w:val="2E2E2E"/>
        </w:rPr>
        <w:t>standard</w:t>
      </w:r>
      <w:r>
        <w:rPr>
          <w:rFonts w:ascii="Garamond" w:hAnsi="Garamond"/>
          <w:color w:val="2E2E2E"/>
        </w:rPr>
        <w:t>”</w:t>
      </w:r>
      <w:r w:rsidRPr="00153EBE">
        <w:rPr>
          <w:rFonts w:ascii="Garamond" w:hAnsi="Garamond"/>
          <w:color w:val="2E2E2E"/>
        </w:rPr>
        <w:t xml:space="preserve"> possiamo intendere ogni documento approvato da un organismo riconosciuto che definisca regole, linee guida, codici di condotta, caratteristiche, in una parola "norme" per usi ripetuti e comuni rispetto alle quali la conformità non è obbligatoria. </w:t>
      </w:r>
      <w:r w:rsidRPr="00153EBE">
        <w:rPr>
          <w:rFonts w:ascii="Garamond" w:hAnsi="Garamond"/>
          <w:color w:val="000000" w:themeColor="text1"/>
        </w:rPr>
        <w:t>L'economia contemporanea si regge su un articolato sistema di norme e convenzioni</w:t>
      </w:r>
      <w:r w:rsidRPr="00153EBE">
        <w:rPr>
          <w:rFonts w:ascii="Garamond" w:hAnsi="Garamond"/>
          <w:i/>
          <w:color w:val="000000" w:themeColor="text1"/>
        </w:rPr>
        <w:t xml:space="preserve"> </w:t>
      </w:r>
      <w:r w:rsidRPr="00153EBE">
        <w:rPr>
          <w:rFonts w:ascii="Garamond" w:hAnsi="Garamond"/>
          <w:color w:val="000000" w:themeColor="text1"/>
        </w:rPr>
        <w:t xml:space="preserve">elaborate da enti e associazioni </w:t>
      </w:r>
      <w:r w:rsidR="00457B8D">
        <w:rPr>
          <w:rFonts w:ascii="Garamond" w:hAnsi="Garamond"/>
          <w:color w:val="000000" w:themeColor="text1"/>
        </w:rPr>
        <w:t>in base a</w:t>
      </w:r>
      <w:r w:rsidRPr="00153EBE">
        <w:rPr>
          <w:rFonts w:ascii="Garamond" w:hAnsi="Garamond"/>
          <w:color w:val="000000" w:themeColor="text1"/>
        </w:rPr>
        <w:t>l confronto tra migliaia di esperti, che riguardano i prodotti e i processi di fabbricazione, la tecnologia, la sicurezza del lavoro, i rapporti tra le imprese, i mercati, la tutela del consumatore e dell'utente, ecc.</w:t>
      </w:r>
      <w:r w:rsidRPr="00153EBE">
        <w:rPr>
          <w:rFonts w:ascii="Garamond" w:hAnsi="Garamond"/>
          <w:color w:val="2E2E2E"/>
        </w:rPr>
        <w:t xml:space="preserve"> Col tempo la standardizzazione si è estesa, si sono moltiplicati gli organismi di certificazione, si sono allargati gli ambiti per cui è richiesto alle imprese di organizzare la </w:t>
      </w:r>
      <w:r w:rsidRPr="00153EBE">
        <w:rPr>
          <w:rFonts w:ascii="Garamond" w:hAnsi="Garamond"/>
          <w:i/>
          <w:color w:val="2E2E2E"/>
        </w:rPr>
        <w:t>compliance</w:t>
      </w:r>
      <w:r w:rsidRPr="00153EBE">
        <w:rPr>
          <w:rFonts w:ascii="Garamond" w:hAnsi="Garamond"/>
          <w:color w:val="2E2E2E"/>
        </w:rPr>
        <w:t xml:space="preserve">. </w:t>
      </w:r>
      <w:r w:rsidRPr="00153EBE">
        <w:rPr>
          <w:rFonts w:ascii="Garamond" w:hAnsi="Garamond"/>
        </w:rPr>
        <w:t>C</w:t>
      </w:r>
      <w:r w:rsidRPr="00153EBE">
        <w:rPr>
          <w:rFonts w:ascii="Garamond" w:hAnsi="Garamond"/>
          <w:color w:val="2E2E2E"/>
        </w:rPr>
        <w:t xml:space="preserve">on la globalizzazione </w:t>
      </w:r>
      <w:r w:rsidRPr="00153EBE">
        <w:rPr>
          <w:rFonts w:ascii="Garamond" w:hAnsi="Garamond"/>
        </w:rPr>
        <w:t xml:space="preserve">la formalizzazione delle </w:t>
      </w:r>
      <w:r w:rsidRPr="00153EBE">
        <w:rPr>
          <w:rFonts w:ascii="Garamond" w:hAnsi="Garamond"/>
          <w:color w:val="333333"/>
          <w:shd w:val="clear" w:color="auto" w:fill="FCFCFC"/>
        </w:rPr>
        <w:t>conoscenze e delle pratiche attraverso standard, protocolli, certificazioni, sistemi di auditing, si è ancora di più universalizzata</w:t>
      </w:r>
      <w:r w:rsidRPr="00153EBE">
        <w:rPr>
          <w:rFonts w:ascii="Garamond" w:hAnsi="Garamond"/>
        </w:rPr>
        <w:t xml:space="preserve">. </w:t>
      </w:r>
      <w:r w:rsidRPr="003F566F">
        <w:rPr>
          <w:rFonts w:ascii="Garamond" w:hAnsi="Garamond"/>
        </w:rPr>
        <w:t xml:space="preserve">In questo modo la </w:t>
      </w:r>
      <w:r w:rsidRPr="003F566F">
        <w:rPr>
          <w:rFonts w:ascii="Garamond" w:hAnsi="Garamond"/>
          <w:color w:val="2E2E2E"/>
        </w:rPr>
        <w:t xml:space="preserve">standardizzazione è diventata un </w:t>
      </w:r>
      <w:r w:rsidRPr="003F566F">
        <w:rPr>
          <w:rFonts w:ascii="Garamond" w:hAnsi="Garamond"/>
          <w:i/>
          <w:color w:val="2E2E2E"/>
        </w:rPr>
        <w:t>big business</w:t>
      </w:r>
      <w:r w:rsidRPr="003F566F">
        <w:rPr>
          <w:rFonts w:ascii="Garamond" w:hAnsi="Garamond"/>
          <w:color w:val="2E2E2E"/>
        </w:rPr>
        <w:t xml:space="preserve">: “Globally, there are well over half a million published standards. </w:t>
      </w:r>
      <w:r w:rsidRPr="00153EBE">
        <w:rPr>
          <w:rFonts w:ascii="Garamond" w:hAnsi="Garamond"/>
          <w:color w:val="2E2E2E"/>
          <w:lang w:val="en-GB"/>
        </w:rPr>
        <w:t xml:space="preserve">This does not include the innumerable internal standards, which underpin any successful business. These half million standards are the product of over 1,000 recognized standards development organizations worldwide" </w:t>
      </w:r>
      <w:r w:rsidRPr="00153EBE">
        <w:rPr>
          <w:rFonts w:ascii="Garamond" w:hAnsi="Garamond"/>
          <w:lang w:val="en-GB"/>
        </w:rPr>
        <w:t>(</w:t>
      </w:r>
      <w:bookmarkStart w:id="0" w:name="bau10"/>
      <w:r w:rsidRPr="00153EBE">
        <w:rPr>
          <w:rFonts w:ascii="Garamond" w:hAnsi="Garamond"/>
          <w:lang w:val="en-GB"/>
        </w:rPr>
        <w:t>Bredillet</w:t>
      </w:r>
      <w:bookmarkEnd w:id="0"/>
      <w:r w:rsidRPr="00153EBE">
        <w:rPr>
          <w:rFonts w:ascii="Garamond" w:hAnsi="Garamond"/>
          <w:lang w:val="en-GB"/>
        </w:rPr>
        <w:t xml:space="preserve"> 2003).</w:t>
      </w:r>
      <w:r w:rsidRPr="003F566F">
        <w:rPr>
          <w:rFonts w:ascii="Garamond" w:hAnsi="Garamond"/>
          <w:lang w:val="en-US"/>
        </w:rPr>
        <w:t xml:space="preserve"> </w:t>
      </w:r>
      <w:proofErr w:type="gramStart"/>
      <w:r w:rsidRPr="00555996">
        <w:rPr>
          <w:rFonts w:ascii="Garamond" w:hAnsi="Garamond"/>
        </w:rPr>
        <w:t>Inoltre</w:t>
      </w:r>
      <w:proofErr w:type="gramEnd"/>
      <w:r w:rsidRPr="00555996">
        <w:rPr>
          <w:rFonts w:ascii="Garamond" w:hAnsi="Garamond"/>
        </w:rPr>
        <w:t xml:space="preserve"> per alcuni studiosi la standardizzazione tecnica, </w:t>
      </w:r>
      <w:r w:rsidR="00555996">
        <w:rPr>
          <w:rFonts w:ascii="Garamond" w:hAnsi="Garamond"/>
        </w:rPr>
        <w:t xml:space="preserve">anche grazie a </w:t>
      </w:r>
      <w:r w:rsidRPr="00555996">
        <w:rPr>
          <w:rFonts w:ascii="Garamond" w:hAnsi="Garamond"/>
        </w:rPr>
        <w:t xml:space="preserve">strumenti scientifici e di controllo più raffinati ha alimentato il passaggio dalla </w:t>
      </w:r>
      <w:r w:rsidRPr="00555996">
        <w:rPr>
          <w:rFonts w:ascii="Garamond" w:hAnsi="Garamond"/>
          <w:i/>
        </w:rPr>
        <w:t>gestione</w:t>
      </w:r>
      <w:r w:rsidRPr="00555996">
        <w:rPr>
          <w:rFonts w:ascii="Garamond" w:hAnsi="Garamond"/>
        </w:rPr>
        <w:t xml:space="preserve"> attraverso norme di principio alla </w:t>
      </w:r>
      <w:r w:rsidRPr="00555996">
        <w:rPr>
          <w:rFonts w:ascii="Garamond" w:hAnsi="Garamond"/>
          <w:i/>
        </w:rPr>
        <w:t>governance</w:t>
      </w:r>
      <w:r w:rsidRPr="00555996">
        <w:rPr>
          <w:rFonts w:ascii="Garamond" w:hAnsi="Garamond"/>
        </w:rPr>
        <w:t xml:space="preserve"> attraverso la programmazione, che prevede la fissazione di criteri e procedure formalizzate e la successiva verifica della conformità alle stesse. Un’impostazione nata nel mondo delle imprese e applicate progressivamente a istituzioni di altra natura, anche pubbliche (comprese le università) grazie all’introduzione di indicatori quantitativi ed esperti “della qualità”, per indurre una valutazione “automatica” e autonoma delle performance. Ciò avrebbe comportato un’erosione della regolazione esterna (compito del diritto pubblico) a vantaggio dell’autonomia privata </w:t>
      </w:r>
      <w:r w:rsidRPr="003F566F">
        <w:rPr>
          <w:rFonts w:ascii="Garamond" w:hAnsi="Garamond"/>
        </w:rPr>
        <w:t>(Supiot 2015).</w:t>
      </w:r>
    </w:p>
    <w:p w14:paraId="427B366B" w14:textId="77777777" w:rsidR="00153EBE" w:rsidRPr="00153EBE" w:rsidRDefault="00153EBE" w:rsidP="00743668">
      <w:pPr>
        <w:spacing w:line="280" w:lineRule="exact"/>
        <w:ind w:firstLine="709"/>
        <w:contextualSpacing/>
        <w:jc w:val="both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333333"/>
          <w:shd w:val="clear" w:color="auto" w:fill="FCFCFC"/>
        </w:rPr>
        <w:t xml:space="preserve">Per circoscrivere il campo, sono esclusi qui </w:t>
      </w:r>
      <w:r w:rsidRPr="00153EBE">
        <w:rPr>
          <w:rFonts w:ascii="Garamond" w:hAnsi="Garamond"/>
        </w:rPr>
        <w:t>gli ambiti dove le norme sono emerse da tempi più antichi e spesso per consuetudine: come la metrologia, i principi contabili, la lex mercatoria</w:t>
      </w:r>
      <w:r w:rsidRPr="00153EBE">
        <w:rPr>
          <w:rFonts w:ascii="Garamond" w:hAnsi="Garamond"/>
          <w:color w:val="333333"/>
          <w:shd w:val="clear" w:color="auto" w:fill="FCFCFC"/>
        </w:rPr>
        <w:t>. Nell’età contemporanea è progressivamente cresciuta l'elaborazione di standard e codici per i diversi settori</w:t>
      </w:r>
      <w:r w:rsidRPr="00153EBE">
        <w:rPr>
          <w:rFonts w:ascii="Garamond" w:hAnsi="Garamond"/>
        </w:rPr>
        <w:t xml:space="preserve">. Negli USA la fondazione del </w:t>
      </w:r>
      <w:r w:rsidRPr="00153EBE">
        <w:rPr>
          <w:rFonts w:ascii="Garamond" w:hAnsi="Garamond"/>
          <w:color w:val="000000"/>
        </w:rPr>
        <w:t>National Institute of Standards and Technology risale al 1901 e sessant'anni dopo le organizzazioni coinvolte in attività di standardizzazione erano salite a 350. I</w:t>
      </w:r>
      <w:r w:rsidRPr="00153EBE">
        <w:rPr>
          <w:rFonts w:ascii="Garamond" w:hAnsi="Garamond"/>
          <w:color w:val="000000" w:themeColor="text1"/>
        </w:rPr>
        <w:t xml:space="preserve">n Italia uno degli organismi più implicati è l'UNI - Ente italiano di normazione, che da un secolo elabora norme e linee guida coinvolgendo i propri aderenti, costituiti da professionisti, imprese, associazioni, enti pubblici, centri di ricerca, ma anche istituti di formazione, rappresentanze dei consumatori e dei lavoratori, enti di terzo settore, organizzazioni non governative. </w:t>
      </w:r>
    </w:p>
    <w:p w14:paraId="575EA85D" w14:textId="25C8A3AC" w:rsidR="00457B8D" w:rsidRPr="00153EBE" w:rsidRDefault="00153EBE" w:rsidP="00743668">
      <w:pPr>
        <w:spacing w:line="280" w:lineRule="exact"/>
        <w:ind w:firstLine="709"/>
        <w:contextualSpacing/>
        <w:jc w:val="both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lastRenderedPageBreak/>
        <w:t xml:space="preserve">Con quali motivazioni e con quali effetti immediati? Per gli osservatori di matrice liberale, gli standard introducono barriere più o meno surrettizie nei mercati, con intento protezionistico. Al contrario, per gli studiosi di innovazione la standardizzazione diffonde la conoscenza, trasferisce la tecnologia, accorcia i tempi di introduzione nel mercato di prodotti e servizi, crea reti di rapporti tra imprese e ricerca, definisce il quadro di riferimento nel quale si sviluppano nuovi prodotti e nuovi mercati, contribuisce a ridurre il rischio economico e finanziario delle attività di ricerca e innovazione. Anche l'Unione Europea riconosce il contributo della normazione all’innovazione e alla competitività, attribuendole un ruolo di stimolo analogo a quello dei brevetti. Dall'adesione alle norme trarrebbero vantaggio anche le piccole imprese, che possono allinearsi a conoscenze e prassi più avanzate. Altri osservatori sono invece dell'avviso che la politica degli standard costringe le piccole imprese o i paesi </w:t>
      </w:r>
      <w:r w:rsidRPr="00153EBE">
        <w:rPr>
          <w:rFonts w:ascii="Garamond" w:hAnsi="Garamond"/>
          <w:i/>
          <w:color w:val="000000" w:themeColor="text1"/>
        </w:rPr>
        <w:t>late comers</w:t>
      </w:r>
      <w:r w:rsidRPr="00153EBE">
        <w:rPr>
          <w:rFonts w:ascii="Garamond" w:hAnsi="Garamond"/>
          <w:color w:val="000000" w:themeColor="text1"/>
        </w:rPr>
        <w:t xml:space="preserve"> a far proprie prescrizioni e procedure che rispondono a finalità definite altrove (come il cambiamento climatico e la sostenibilità) e che il piccolo operatore o il paese meno avanzato subisce passivamente attraverso esperti, disciplinari, norme, marchi. Di fatto non senza ritardi e contrasti interni, accanto alle norme pubbliche molti enti economici e associazioni hanno elaborato indicazioni di prodotto, nomenclature, protocolli che le imprese aderenti possono far propri in vista dell'accreditamento di apposite unità indipendenti. I primi settori a muoversi in tal senso sembra siano stati i settori maggiormente esposti al commercio estero e i settori tecnologici (trasporti, telecomunicazioni, industria chimica e idrocarburi, elettrotecnica) che a inizi Novecento istituirono i primi organismi di normazione a livello internazionale: inizialmente settoriali (come l'International Electrotechnical Commission) e poi multisettoriali (come l'International Standard Association, 1926) con le relative conferenze tecniche internazionali per l’unificazione, sino  all'attuale l'ISO (International Organization for Standardization) sorta nel 1947. </w:t>
      </w:r>
      <w:r w:rsidR="00457B8D">
        <w:rPr>
          <w:rFonts w:ascii="Garamond" w:hAnsi="Garamond"/>
          <w:color w:val="000000" w:themeColor="text1"/>
        </w:rPr>
        <w:t>L</w:t>
      </w:r>
      <w:r w:rsidR="00457B8D" w:rsidRPr="00153EBE">
        <w:rPr>
          <w:rFonts w:ascii="Garamond" w:hAnsi="Garamond"/>
          <w:color w:val="000000" w:themeColor="text1"/>
        </w:rPr>
        <w:t>’Italia ha partecipato a innumerevoli conferenze e istituzioni aventi obiettivi di armonizzazione delle norme</w:t>
      </w:r>
      <w:r w:rsidR="00457B8D">
        <w:rPr>
          <w:rFonts w:ascii="Garamond" w:hAnsi="Garamond"/>
          <w:color w:val="000000" w:themeColor="text1"/>
        </w:rPr>
        <w:t xml:space="preserve"> e ha costituito presto propri </w:t>
      </w:r>
      <w:r w:rsidR="00457B8D" w:rsidRPr="00153EBE">
        <w:rPr>
          <w:rFonts w:ascii="Garamond" w:hAnsi="Garamond"/>
          <w:color w:val="000000" w:themeColor="text1"/>
        </w:rPr>
        <w:t>organismi di regolazione della qualità</w:t>
      </w:r>
      <w:r w:rsidR="00457B8D">
        <w:rPr>
          <w:rFonts w:ascii="Garamond" w:hAnsi="Garamond"/>
          <w:color w:val="000000" w:themeColor="text1"/>
        </w:rPr>
        <w:t xml:space="preserve">, a partire dal </w:t>
      </w:r>
      <w:r w:rsidR="00457B8D" w:rsidRPr="00153EBE">
        <w:rPr>
          <w:rFonts w:ascii="Garamond" w:hAnsi="Garamond"/>
          <w:bCs/>
          <w:color w:val="000000" w:themeColor="text1"/>
          <w:shd w:val="clear" w:color="auto" w:fill="FFFFFF"/>
        </w:rPr>
        <w:t>Comitato elettrotecnico italiano</w:t>
      </w:r>
      <w:r w:rsidR="00457B8D" w:rsidRPr="00153EBE">
        <w:rPr>
          <w:rFonts w:ascii="Garamond" w:hAnsi="Garamond"/>
          <w:color w:val="000000" w:themeColor="text1"/>
          <w:shd w:val="clear" w:color="auto" w:fill="FFFFFF"/>
        </w:rPr>
        <w:t xml:space="preserve"> (del 1909) e </w:t>
      </w:r>
      <w:r w:rsidR="00457B8D">
        <w:rPr>
          <w:rFonts w:ascii="Garamond" w:hAnsi="Garamond"/>
          <w:color w:val="000000" w:themeColor="text1"/>
          <w:shd w:val="clear" w:color="auto" w:fill="FFFFFF"/>
        </w:rPr>
        <w:t>da</w:t>
      </w:r>
      <w:r w:rsidR="00457B8D" w:rsidRPr="00153EBE">
        <w:rPr>
          <w:rFonts w:ascii="Garamond" w:hAnsi="Garamond"/>
          <w:color w:val="000000" w:themeColor="text1"/>
          <w:shd w:val="clear" w:color="auto" w:fill="FFFFFF"/>
        </w:rPr>
        <w:t xml:space="preserve">l </w:t>
      </w:r>
      <w:r w:rsidR="00457B8D" w:rsidRPr="00153EBE">
        <w:rPr>
          <w:rFonts w:ascii="Garamond" w:hAnsi="Garamond"/>
          <w:color w:val="000000" w:themeColor="text1"/>
        </w:rPr>
        <w:t>Comitato generale per l’unificazione dell’industria meccanica</w:t>
      </w:r>
      <w:r w:rsidR="00457B8D" w:rsidRPr="00153EBE">
        <w:rPr>
          <w:rFonts w:ascii="Garamond" w:hAnsi="Garamond"/>
          <w:color w:val="000000" w:themeColor="text1"/>
          <w:shd w:val="clear" w:color="auto" w:fill="FFFFFF"/>
        </w:rPr>
        <w:t xml:space="preserve"> (1921), poi confluiti nell’</w:t>
      </w:r>
      <w:r w:rsidR="00457B8D" w:rsidRPr="00153EBE">
        <w:rPr>
          <w:rFonts w:ascii="Garamond" w:hAnsi="Garamond"/>
          <w:color w:val="000000" w:themeColor="text1"/>
        </w:rPr>
        <w:t>Ente nazionale italiano di unificazione (UNI)</w:t>
      </w:r>
      <w:r w:rsidR="00457B8D" w:rsidRPr="00153EBE">
        <w:rPr>
          <w:rFonts w:ascii="Garamond" w:hAnsi="Garamond"/>
          <w:bCs/>
          <w:color w:val="000000" w:themeColor="text1"/>
          <w:shd w:val="clear" w:color="auto" w:fill="FFFFFF"/>
        </w:rPr>
        <w:t>.</w:t>
      </w:r>
    </w:p>
    <w:p w14:paraId="0325ACB1" w14:textId="4E2AFCC7" w:rsidR="00457B8D" w:rsidRDefault="00153EBE" w:rsidP="00743668">
      <w:pPr>
        <w:spacing w:line="280" w:lineRule="exact"/>
        <w:ind w:firstLine="709"/>
        <w:contextualSpacing/>
        <w:jc w:val="both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 xml:space="preserve">La storiografia ha indagato ampiamente i processi di "costruzione della qualità" in età preindustriale, in particolare sottolineando il ruolo delle organizzazioni corporative, e ha messo in luce il ruolo degli standard qualitativi nella costruzione di mercati concorrenziali globali, come quello della seta. Appare invece più carente per l’età contemporanea (secoli XIX-XX) con riguardo ai diversi comparti dell’agroalimentare – forse perché caratterizzato dalla prevalenza di norme pubbliche, a tutela di interessi diffusi come quelli dei piccoli coltivatori, dei consumatori e dell’igiene pubblica – ma anche con riguardo a settori imperniati su uno sviluppo tecnologico intensivo e </w:t>
      </w:r>
      <w:r w:rsidRPr="00153EBE">
        <w:rPr>
          <w:rFonts w:ascii="Garamond" w:hAnsi="Garamond"/>
          <w:i/>
          <w:color w:val="000000" w:themeColor="text1"/>
        </w:rPr>
        <w:t>science-based</w:t>
      </w:r>
      <w:r w:rsidR="00457B8D">
        <w:rPr>
          <w:rFonts w:ascii="Garamond" w:hAnsi="Garamond"/>
          <w:color w:val="000000" w:themeColor="text1"/>
        </w:rPr>
        <w:t>,</w:t>
      </w:r>
      <w:r w:rsidRPr="00153EBE">
        <w:rPr>
          <w:rFonts w:ascii="Garamond" w:hAnsi="Garamond"/>
          <w:color w:val="000000" w:themeColor="text1"/>
        </w:rPr>
        <w:t xml:space="preserve"> dove emerse precocemente una cultura degli standard </w:t>
      </w:r>
      <w:r w:rsidR="00457B8D">
        <w:rPr>
          <w:rFonts w:ascii="Garamond" w:hAnsi="Garamond"/>
          <w:color w:val="000000" w:themeColor="text1"/>
        </w:rPr>
        <w:t xml:space="preserve">intesa </w:t>
      </w:r>
      <w:r w:rsidRPr="00153EBE">
        <w:rPr>
          <w:rFonts w:ascii="Garamond" w:hAnsi="Garamond"/>
          <w:color w:val="000000" w:themeColor="text1"/>
        </w:rPr>
        <w:t xml:space="preserve">come compito </w:t>
      </w:r>
      <w:r w:rsidR="00457B8D">
        <w:rPr>
          <w:rFonts w:ascii="Garamond" w:hAnsi="Garamond"/>
          <w:color w:val="000000" w:themeColor="text1"/>
        </w:rPr>
        <w:t>prioritario de</w:t>
      </w:r>
      <w:r w:rsidRPr="00153EBE">
        <w:rPr>
          <w:rFonts w:ascii="Garamond" w:hAnsi="Garamond"/>
          <w:color w:val="000000" w:themeColor="text1"/>
        </w:rPr>
        <w:t xml:space="preserve">gli specialisti. Si tratta </w:t>
      </w:r>
      <w:r w:rsidR="00092BE2">
        <w:rPr>
          <w:rFonts w:ascii="Garamond" w:hAnsi="Garamond"/>
          <w:color w:val="000000" w:themeColor="text1"/>
        </w:rPr>
        <w:t xml:space="preserve">dunque </w:t>
      </w:r>
      <w:r w:rsidRPr="00153EBE">
        <w:rPr>
          <w:rFonts w:ascii="Garamond" w:hAnsi="Garamond"/>
          <w:color w:val="000000" w:themeColor="text1"/>
        </w:rPr>
        <w:t xml:space="preserve">di </w:t>
      </w:r>
      <w:r w:rsidR="00092BE2">
        <w:rPr>
          <w:rFonts w:ascii="Garamond" w:hAnsi="Garamond"/>
          <w:color w:val="000000" w:themeColor="text1"/>
        </w:rPr>
        <w:t xml:space="preserve">un tema </w:t>
      </w:r>
      <w:r w:rsidR="00457B8D">
        <w:rPr>
          <w:rFonts w:ascii="Garamond" w:hAnsi="Garamond"/>
          <w:color w:val="000000" w:themeColor="text1"/>
        </w:rPr>
        <w:t xml:space="preserve">che </w:t>
      </w:r>
      <w:r w:rsidR="00092BE2">
        <w:rPr>
          <w:rFonts w:ascii="Garamond" w:hAnsi="Garamond"/>
          <w:color w:val="000000" w:themeColor="text1"/>
        </w:rPr>
        <w:t xml:space="preserve">merita di essere indagato </w:t>
      </w:r>
      <w:r w:rsidR="00457B8D">
        <w:rPr>
          <w:rFonts w:ascii="Garamond" w:hAnsi="Garamond"/>
          <w:color w:val="000000" w:themeColor="text1"/>
        </w:rPr>
        <w:t xml:space="preserve">applicandosi </w:t>
      </w:r>
      <w:r w:rsidRPr="00153EBE">
        <w:rPr>
          <w:rFonts w:ascii="Garamond" w:hAnsi="Garamond"/>
          <w:color w:val="000000" w:themeColor="text1"/>
        </w:rPr>
        <w:t xml:space="preserve">a specifici settori, tipi d'impresa, istituzioni, protagonisti, </w:t>
      </w:r>
      <w:r w:rsidR="00457B8D">
        <w:rPr>
          <w:rFonts w:ascii="Garamond" w:hAnsi="Garamond"/>
          <w:color w:val="000000" w:themeColor="text1"/>
        </w:rPr>
        <w:t xml:space="preserve">cercando </w:t>
      </w:r>
      <w:r w:rsidR="00092BE2">
        <w:rPr>
          <w:rFonts w:ascii="Garamond" w:hAnsi="Garamond"/>
          <w:color w:val="000000" w:themeColor="text1"/>
        </w:rPr>
        <w:t xml:space="preserve">dietro </w:t>
      </w:r>
      <w:r w:rsidRPr="00153EBE">
        <w:rPr>
          <w:rFonts w:ascii="Garamond" w:hAnsi="Garamond"/>
          <w:color w:val="000000" w:themeColor="text1"/>
        </w:rPr>
        <w:t xml:space="preserve">le convenzioni formali le ragioni di convergenza o di contrasto tra i soggetti interessati, a livello nazionale e in rapporto con gli altri paesi. </w:t>
      </w:r>
    </w:p>
    <w:p w14:paraId="4927ECBD" w14:textId="1C083D55" w:rsidR="00153EBE" w:rsidRPr="00153EBE" w:rsidRDefault="00153EBE" w:rsidP="00743668">
      <w:pPr>
        <w:spacing w:line="280" w:lineRule="exact"/>
        <w:ind w:firstLine="709"/>
        <w:contextualSpacing/>
        <w:jc w:val="both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A titolo esemplificativo si suggeriscono alcune possibili piste di lavoro:</w:t>
      </w:r>
    </w:p>
    <w:p w14:paraId="15F7483B" w14:textId="77777777" w:rsidR="00153EBE" w:rsidRPr="00153EBE" w:rsidRDefault="00153EBE" w:rsidP="00743668">
      <w:pPr>
        <w:pStyle w:val="Paragrafoelenco"/>
        <w:numPr>
          <w:ilvl w:val="0"/>
          <w:numId w:val="1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I meccanismi della standardizzazione</w:t>
      </w:r>
    </w:p>
    <w:p w14:paraId="2E6C282F" w14:textId="77777777" w:rsidR="00153EBE" w:rsidRPr="00153EBE" w:rsidRDefault="00153EBE" w:rsidP="00743668">
      <w:pPr>
        <w:pStyle w:val="Paragrafoelenco"/>
        <w:numPr>
          <w:ilvl w:val="0"/>
          <w:numId w:val="2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201F1E"/>
          <w:shd w:val="clear" w:color="auto" w:fill="FFFFFF"/>
        </w:rPr>
        <w:t>La definizione delle norme: le istituzioni coinvolte, il processo decisionale, le relazioni internazionali, i rapporti con i livelli sovranazionali</w:t>
      </w:r>
    </w:p>
    <w:p w14:paraId="064E6B58" w14:textId="77777777" w:rsidR="00153EBE" w:rsidRPr="00153EBE" w:rsidRDefault="00153EBE" w:rsidP="00743668">
      <w:pPr>
        <w:pStyle w:val="Paragrafoelenco"/>
        <w:numPr>
          <w:ilvl w:val="0"/>
          <w:numId w:val="2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 xml:space="preserve">I contenuti delle norme (processi e prodotti, comportamenti, performance…) </w:t>
      </w:r>
    </w:p>
    <w:p w14:paraId="0978C166" w14:textId="77777777" w:rsidR="00153EBE" w:rsidRPr="00153EBE" w:rsidRDefault="00153EBE" w:rsidP="00743668">
      <w:pPr>
        <w:pStyle w:val="Paragrafoelenco"/>
        <w:numPr>
          <w:ilvl w:val="0"/>
          <w:numId w:val="2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La crescita degli standard in un settore specifico (ad esempio l'alimentare, la chimica, la meccanica, l'industria elettrica, il tessile-abbigliamento, ecc.)</w:t>
      </w:r>
    </w:p>
    <w:p w14:paraId="78A022E5" w14:textId="2259FF90" w:rsidR="00153EBE" w:rsidRPr="00153EBE" w:rsidRDefault="00153EBE" w:rsidP="00743668">
      <w:pPr>
        <w:pStyle w:val="Paragrafoelenco"/>
        <w:numPr>
          <w:ilvl w:val="0"/>
          <w:numId w:val="2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La standardizzazione in relazione al commercio es</w:t>
      </w:r>
      <w:r w:rsidR="00FF0C80">
        <w:rPr>
          <w:rFonts w:ascii="Garamond" w:hAnsi="Garamond"/>
          <w:color w:val="000000" w:themeColor="text1"/>
        </w:rPr>
        <w:t xml:space="preserve">tero (in entrata e in uscita). </w:t>
      </w:r>
      <w:r w:rsidRPr="00153EBE">
        <w:rPr>
          <w:rFonts w:ascii="Garamond" w:hAnsi="Garamond"/>
          <w:color w:val="000000" w:themeColor="text1"/>
        </w:rPr>
        <w:t>Le "guerre degli standard" nelle relazioni internazionali dell’Otto e Novecento</w:t>
      </w:r>
    </w:p>
    <w:p w14:paraId="326797EA" w14:textId="77777777" w:rsidR="00153EBE" w:rsidRPr="00153EBE" w:rsidRDefault="00153EBE" w:rsidP="00743668">
      <w:pPr>
        <w:pStyle w:val="Paragrafoelenco"/>
        <w:numPr>
          <w:ilvl w:val="0"/>
          <w:numId w:val="2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Standard internazionali, concorrenza e sicurezza dei consumatori</w:t>
      </w:r>
    </w:p>
    <w:p w14:paraId="4B3BB510" w14:textId="77777777" w:rsidR="00153EBE" w:rsidRDefault="00153EBE" w:rsidP="00743668">
      <w:pPr>
        <w:pStyle w:val="Paragrafoelenco"/>
        <w:numPr>
          <w:ilvl w:val="0"/>
          <w:numId w:val="2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L’esplosione della normazione privata con la seconda globalizzazione</w:t>
      </w:r>
    </w:p>
    <w:p w14:paraId="651E71BE" w14:textId="77777777" w:rsidR="00153EBE" w:rsidRPr="00153EBE" w:rsidRDefault="00153EBE" w:rsidP="00743668">
      <w:pPr>
        <w:pStyle w:val="Paragrafoelenco"/>
        <w:numPr>
          <w:ilvl w:val="0"/>
          <w:numId w:val="1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lastRenderedPageBreak/>
        <w:t>L'impresa di fronte alla standardizzazione</w:t>
      </w:r>
    </w:p>
    <w:p w14:paraId="4B9EB134" w14:textId="77777777" w:rsidR="00153EBE" w:rsidRPr="00153EBE" w:rsidRDefault="00153EBE" w:rsidP="00743668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Grande e piccola impresa di fronte alla standardizzazione tecnica</w:t>
      </w:r>
    </w:p>
    <w:p w14:paraId="2200EFDC" w14:textId="77777777" w:rsidR="00153EBE" w:rsidRPr="00153EBE" w:rsidRDefault="00153EBE" w:rsidP="00743668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Codici e norme nelle relazioni tra imprese (es. nei confronti dei fornitori)</w:t>
      </w:r>
    </w:p>
    <w:p w14:paraId="18FE87D7" w14:textId="77777777" w:rsidR="00153EBE" w:rsidRPr="00153EBE" w:rsidRDefault="00153EBE" w:rsidP="00743668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L'approccio tecnologico alla qualità da F.W. Taylor al Total Quality Management</w:t>
      </w:r>
    </w:p>
    <w:p w14:paraId="77AE106E" w14:textId="77777777" w:rsidR="00153EBE" w:rsidRPr="00153EBE" w:rsidRDefault="00153EBE" w:rsidP="00743668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Il controllo di qualità (contenuti, professionisti, promotori)</w:t>
      </w:r>
    </w:p>
    <w:p w14:paraId="6BB9372E" w14:textId="77777777" w:rsidR="00153EBE" w:rsidRPr="00153EBE" w:rsidRDefault="00153EBE" w:rsidP="00743668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 xml:space="preserve">I processi di certificazione e di accreditamento esterni all'impresa (agenzie, modalità operative, effetti). La prospettiva della </w:t>
      </w:r>
      <w:r w:rsidRPr="00153EBE">
        <w:rPr>
          <w:rFonts w:ascii="Garamond" w:hAnsi="Garamond"/>
          <w:i/>
          <w:color w:val="000000" w:themeColor="text1"/>
        </w:rPr>
        <w:t>compliance</w:t>
      </w:r>
      <w:r w:rsidRPr="00153EBE">
        <w:rPr>
          <w:rFonts w:ascii="Garamond" w:hAnsi="Garamond"/>
          <w:color w:val="000000" w:themeColor="text1"/>
        </w:rPr>
        <w:t xml:space="preserve"> aziendale</w:t>
      </w:r>
    </w:p>
    <w:p w14:paraId="3B86DD37" w14:textId="77777777" w:rsidR="00153EBE" w:rsidRPr="00153EBE" w:rsidRDefault="00153EBE" w:rsidP="00743668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color w:val="000000" w:themeColor="text1"/>
        </w:rPr>
      </w:pPr>
      <w:r w:rsidRPr="00153EBE">
        <w:rPr>
          <w:rFonts w:ascii="Garamond" w:hAnsi="Garamond"/>
          <w:color w:val="000000" w:themeColor="text1"/>
        </w:rPr>
        <w:t>Il trasferimento di logiche di standardizzazione e di qualità totale dell’impresa ad altre istituzioni sociali (organizzazioni non profit, enti pubblici, università)</w:t>
      </w:r>
    </w:p>
    <w:p w14:paraId="6B147F19" w14:textId="77777777" w:rsidR="0068175C" w:rsidRDefault="0068175C" w:rsidP="0068175C">
      <w:pPr>
        <w:spacing w:line="280" w:lineRule="exact"/>
        <w:contextualSpacing/>
        <w:jc w:val="both"/>
        <w:rPr>
          <w:rFonts w:ascii="Garamond" w:eastAsia="Garamond" w:hAnsi="Garamond" w:cs="Garamond"/>
          <w:b/>
          <w:u w:val="single"/>
        </w:rPr>
      </w:pPr>
    </w:p>
    <w:p w14:paraId="0E35A318" w14:textId="48B1E113" w:rsidR="00AE22C5" w:rsidRPr="0068175C" w:rsidRDefault="0068175C" w:rsidP="0068175C">
      <w:pPr>
        <w:spacing w:line="280" w:lineRule="exact"/>
        <w:contextualSpacing/>
        <w:jc w:val="both"/>
        <w:rPr>
          <w:rFonts w:ascii="Garamond" w:eastAsia="Garamond" w:hAnsi="Garamond" w:cs="Garamond"/>
          <w:b/>
          <w:u w:val="single"/>
        </w:rPr>
      </w:pPr>
      <w:r w:rsidRPr="0068175C">
        <w:rPr>
          <w:rFonts w:ascii="Garamond" w:eastAsia="Garamond" w:hAnsi="Garamond" w:cs="Garamond"/>
          <w:b/>
          <w:u w:val="single"/>
        </w:rPr>
        <w:t>Date importanti</w:t>
      </w:r>
    </w:p>
    <w:p w14:paraId="124EB372" w14:textId="28400E8A" w:rsidR="004473DE" w:rsidRDefault="001E7A1D" w:rsidP="003C2E0A">
      <w:pPr>
        <w:spacing w:line="280" w:lineRule="exact"/>
        <w:ind w:firstLine="708"/>
        <w:contextualSpacing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Le </w:t>
      </w:r>
      <w:r w:rsidRPr="003C2E0A">
        <w:rPr>
          <w:rFonts w:ascii="Garamond" w:eastAsia="Garamond" w:hAnsi="Garamond" w:cs="Garamond"/>
          <w:u w:val="single"/>
        </w:rPr>
        <w:t>proposte</w:t>
      </w:r>
      <w:r>
        <w:rPr>
          <w:rFonts w:ascii="Garamond" w:eastAsia="Garamond" w:hAnsi="Garamond" w:cs="Garamond"/>
        </w:rPr>
        <w:t xml:space="preserve"> di contributo, di max 500 parole, redatte in italiano</w:t>
      </w:r>
      <w:r w:rsidR="007A6709">
        <w:rPr>
          <w:rFonts w:ascii="Garamond" w:eastAsia="Garamond" w:hAnsi="Garamond" w:cs="Garamond"/>
        </w:rPr>
        <w:t xml:space="preserve"> o in </w:t>
      </w:r>
      <w:r>
        <w:rPr>
          <w:rFonts w:ascii="Garamond" w:eastAsia="Garamond" w:hAnsi="Garamond" w:cs="Garamond"/>
        </w:rPr>
        <w:t>inglese</w:t>
      </w:r>
      <w:r w:rsidR="007A6709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francese</w:t>
      </w:r>
      <w:r w:rsidR="007A6709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spagnolo, </w:t>
      </w:r>
      <w:r w:rsidR="004473DE">
        <w:rPr>
          <w:rFonts w:ascii="Garamond" w:eastAsia="Garamond" w:hAnsi="Garamond" w:cs="Garamond"/>
        </w:rPr>
        <w:t>vanno inviate</w:t>
      </w:r>
      <w:r w:rsidR="00972863">
        <w:rPr>
          <w:rFonts w:ascii="Garamond" w:eastAsia="Garamond" w:hAnsi="Garamond" w:cs="Garamond"/>
        </w:rPr>
        <w:t>,</w:t>
      </w:r>
      <w:r w:rsidR="004473DE">
        <w:rPr>
          <w:rFonts w:ascii="Garamond" w:eastAsia="Garamond" w:hAnsi="Garamond" w:cs="Garamond"/>
        </w:rPr>
        <w:t xml:space="preserve"> </w:t>
      </w:r>
      <w:r w:rsidR="004473DE" w:rsidRPr="00207A2B">
        <w:rPr>
          <w:rFonts w:ascii="Garamond" w:eastAsia="Garamond" w:hAnsi="Garamond" w:cs="Garamond"/>
        </w:rPr>
        <w:t xml:space="preserve">entro il </w:t>
      </w:r>
      <w:r w:rsidR="009C3DEB">
        <w:rPr>
          <w:rFonts w:ascii="Garamond" w:eastAsia="Garamond" w:hAnsi="Garamond" w:cs="Garamond"/>
          <w:b/>
          <w:u w:val="single"/>
        </w:rPr>
        <w:t xml:space="preserve">30 ottobre </w:t>
      </w:r>
      <w:r w:rsidR="004473DE" w:rsidRPr="00207A2B">
        <w:rPr>
          <w:rFonts w:ascii="Garamond" w:eastAsia="Garamond" w:hAnsi="Garamond" w:cs="Garamond"/>
          <w:b/>
          <w:u w:val="single"/>
        </w:rPr>
        <w:t>2022</w:t>
      </w:r>
      <w:r w:rsidR="00972863">
        <w:rPr>
          <w:rFonts w:ascii="Garamond" w:eastAsia="Garamond" w:hAnsi="Garamond" w:cs="Garamond"/>
          <w:b/>
          <w:u w:val="single"/>
        </w:rPr>
        <w:t>,</w:t>
      </w:r>
      <w:r w:rsidR="004473DE" w:rsidRPr="00207A2B">
        <w:rPr>
          <w:rFonts w:ascii="Garamond" w:eastAsia="Garamond" w:hAnsi="Garamond" w:cs="Garamond"/>
        </w:rPr>
        <w:t xml:space="preserve"> </w:t>
      </w:r>
      <w:r w:rsidR="004473DE">
        <w:rPr>
          <w:rFonts w:ascii="Garamond" w:eastAsia="Garamond" w:hAnsi="Garamond" w:cs="Garamond"/>
        </w:rPr>
        <w:t xml:space="preserve">alla redazione della rivista </w:t>
      </w:r>
      <w:hyperlink r:id="rId13" w:history="1">
        <w:r w:rsidR="003C2E0A" w:rsidRPr="003C2E0A">
          <w:rPr>
            <w:rStyle w:val="Collegamentoipertestuale"/>
            <w:rFonts w:ascii="Garamond" w:eastAsia="Garamond" w:hAnsi="Garamond" w:cs="Garamond"/>
          </w:rPr>
          <w:t>redazione.rises@gmail.com</w:t>
        </w:r>
      </w:hyperlink>
      <w:r w:rsidR="004473DE">
        <w:rPr>
          <w:rFonts w:ascii="Garamond" w:eastAsia="Garamond" w:hAnsi="Garamond" w:cs="Garamond"/>
        </w:rPr>
        <w:t xml:space="preserve">, con oggetto “Call </w:t>
      </w:r>
      <w:r w:rsidR="004473DE" w:rsidRPr="00222E1E">
        <w:rPr>
          <w:rFonts w:ascii="Garamond" w:eastAsia="Garamond" w:hAnsi="Garamond" w:cs="Garamond"/>
        </w:rPr>
        <w:t>Standard</w:t>
      </w:r>
      <w:r w:rsidR="004473DE">
        <w:rPr>
          <w:rFonts w:ascii="Garamond" w:eastAsia="Garamond" w:hAnsi="Garamond" w:cs="Garamond"/>
        </w:rPr>
        <w:t xml:space="preserve">” e </w:t>
      </w:r>
      <w:r>
        <w:rPr>
          <w:rFonts w:ascii="Garamond" w:eastAsia="Garamond" w:hAnsi="Garamond" w:cs="Garamond"/>
        </w:rPr>
        <w:t>dovranno contenere l’indicazione di titolo, o</w:t>
      </w:r>
      <w:r w:rsidR="0068175C">
        <w:rPr>
          <w:rFonts w:ascii="Garamond" w:eastAsia="Garamond" w:hAnsi="Garamond" w:cs="Garamond"/>
        </w:rPr>
        <w:t>biettivi, metodologia e fonti.</w:t>
      </w:r>
      <w:r>
        <w:rPr>
          <w:rFonts w:ascii="Garamond" w:eastAsia="Garamond" w:hAnsi="Garamond" w:cs="Garamond"/>
        </w:rPr>
        <w:t xml:space="preserve"> </w:t>
      </w:r>
      <w:r w:rsidR="00FC2F32">
        <w:rPr>
          <w:rFonts w:ascii="Garamond" w:eastAsia="Garamond" w:hAnsi="Garamond" w:cs="Garamond"/>
        </w:rPr>
        <w:t xml:space="preserve"> Si prega di aggiungere</w:t>
      </w:r>
      <w:r w:rsidR="00972863">
        <w:rPr>
          <w:rFonts w:ascii="Garamond" w:eastAsia="Garamond" w:hAnsi="Garamond" w:cs="Garamond"/>
        </w:rPr>
        <w:t xml:space="preserve"> un </w:t>
      </w:r>
      <w:r w:rsidR="00FC2F32">
        <w:rPr>
          <w:rFonts w:ascii="Garamond" w:eastAsia="Garamond" w:hAnsi="Garamond" w:cs="Garamond"/>
        </w:rPr>
        <w:t>breve curriculum vitae (max 100 parole).</w:t>
      </w:r>
    </w:p>
    <w:p w14:paraId="41FCA168" w14:textId="45677E03" w:rsidR="001E7A1D" w:rsidRDefault="001E7A1D" w:rsidP="00743668">
      <w:pPr>
        <w:spacing w:line="280" w:lineRule="exact"/>
        <w:ind w:firstLine="708"/>
        <w:contextualSpacing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La notifica di </w:t>
      </w:r>
      <w:r w:rsidRPr="00207A2B">
        <w:rPr>
          <w:rFonts w:ascii="Garamond" w:eastAsia="Garamond" w:hAnsi="Garamond" w:cs="Garamond"/>
          <w:u w:val="single"/>
        </w:rPr>
        <w:t>accettazione</w:t>
      </w:r>
      <w:r>
        <w:rPr>
          <w:rFonts w:ascii="Garamond" w:eastAsia="Garamond" w:hAnsi="Garamond" w:cs="Garamond"/>
        </w:rPr>
        <w:t xml:space="preserve"> delle proposte sarà comunicata </w:t>
      </w:r>
      <w:r w:rsidRPr="00207A2B">
        <w:rPr>
          <w:rFonts w:ascii="Garamond" w:eastAsia="Garamond" w:hAnsi="Garamond" w:cs="Garamond"/>
        </w:rPr>
        <w:t xml:space="preserve">entro il </w:t>
      </w:r>
      <w:r w:rsidR="009C3DEB">
        <w:rPr>
          <w:rFonts w:ascii="Garamond" w:eastAsia="Garamond" w:hAnsi="Garamond" w:cs="Garamond"/>
          <w:b/>
          <w:u w:val="single"/>
        </w:rPr>
        <w:t>1</w:t>
      </w:r>
      <w:r w:rsidR="009F3E27">
        <w:rPr>
          <w:rFonts w:ascii="Garamond" w:eastAsia="Garamond" w:hAnsi="Garamond" w:cs="Garamond"/>
          <w:b/>
          <w:u w:val="single"/>
        </w:rPr>
        <w:t>5</w:t>
      </w:r>
      <w:r w:rsidR="00743668" w:rsidRPr="00207A2B">
        <w:rPr>
          <w:rFonts w:ascii="Garamond" w:eastAsia="Garamond" w:hAnsi="Garamond" w:cs="Garamond"/>
          <w:b/>
          <w:u w:val="single"/>
        </w:rPr>
        <w:t xml:space="preserve"> </w:t>
      </w:r>
      <w:r w:rsidR="007A6709">
        <w:rPr>
          <w:rFonts w:ascii="Garamond" w:eastAsia="Garamond" w:hAnsi="Garamond" w:cs="Garamond"/>
          <w:b/>
          <w:u w:val="single"/>
        </w:rPr>
        <w:t xml:space="preserve">novembre </w:t>
      </w:r>
      <w:r w:rsidR="004473DE" w:rsidRPr="00207A2B">
        <w:rPr>
          <w:rFonts w:ascii="Garamond" w:eastAsia="Garamond" w:hAnsi="Garamond" w:cs="Garamond"/>
          <w:b/>
          <w:u w:val="single"/>
        </w:rPr>
        <w:t>2022</w:t>
      </w:r>
      <w:r>
        <w:rPr>
          <w:rFonts w:ascii="Garamond" w:eastAsia="Garamond" w:hAnsi="Garamond" w:cs="Garamond"/>
        </w:rPr>
        <w:t>.</w:t>
      </w:r>
    </w:p>
    <w:p w14:paraId="45E0F203" w14:textId="00DAEF45" w:rsidR="004473DE" w:rsidRDefault="001E7A1D" w:rsidP="00743668">
      <w:pPr>
        <w:spacing w:line="280" w:lineRule="exact"/>
        <w:ind w:firstLine="708"/>
        <w:contextualSpacing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saggi, della lunghezza massima di 9.000 parole</w:t>
      </w:r>
      <w:r w:rsidR="008529DB">
        <w:rPr>
          <w:rFonts w:ascii="Garamond" w:eastAsia="Garamond" w:hAnsi="Garamond" w:cs="Garamond"/>
        </w:rPr>
        <w:t xml:space="preserve"> (incluse le note)</w:t>
      </w:r>
      <w:r>
        <w:rPr>
          <w:rFonts w:ascii="Garamond" w:eastAsia="Garamond" w:hAnsi="Garamond" w:cs="Garamond"/>
        </w:rPr>
        <w:t>, potranno essere redatti in italiano/inglese/francese/spagnolo</w:t>
      </w:r>
      <w:r w:rsidR="00207A2B">
        <w:rPr>
          <w:rFonts w:ascii="Garamond" w:eastAsia="Garamond" w:hAnsi="Garamond" w:cs="Garamond"/>
        </w:rPr>
        <w:t xml:space="preserve">; la </w:t>
      </w:r>
      <w:r w:rsidR="00207A2B" w:rsidRPr="00207A2B">
        <w:rPr>
          <w:rFonts w:ascii="Garamond" w:eastAsia="Garamond" w:hAnsi="Garamond" w:cs="Garamond"/>
          <w:u w:val="single"/>
        </w:rPr>
        <w:t>consegna</w:t>
      </w:r>
      <w:r>
        <w:rPr>
          <w:rFonts w:ascii="Garamond" w:eastAsia="Garamond" w:hAnsi="Garamond" w:cs="Garamond"/>
        </w:rPr>
        <w:t xml:space="preserve"> </w:t>
      </w:r>
      <w:r w:rsidR="00207A2B">
        <w:rPr>
          <w:rFonts w:ascii="Garamond" w:eastAsia="Garamond" w:hAnsi="Garamond" w:cs="Garamond"/>
        </w:rPr>
        <w:t xml:space="preserve">dovrà </w:t>
      </w:r>
      <w:r w:rsidR="00207A2B" w:rsidRPr="00207A2B">
        <w:rPr>
          <w:rFonts w:ascii="Garamond" w:eastAsia="Garamond" w:hAnsi="Garamond" w:cs="Garamond"/>
        </w:rPr>
        <w:t>avvenire</w:t>
      </w:r>
      <w:r w:rsidRPr="00207A2B">
        <w:rPr>
          <w:rFonts w:ascii="Garamond" w:eastAsia="Garamond" w:hAnsi="Garamond" w:cs="Garamond"/>
        </w:rPr>
        <w:t xml:space="preserve"> entro </w:t>
      </w:r>
      <w:r w:rsidR="00B95F8B">
        <w:rPr>
          <w:rFonts w:ascii="Garamond" w:eastAsia="Garamond" w:hAnsi="Garamond" w:cs="Garamond"/>
          <w:b/>
          <w:u w:val="single"/>
        </w:rPr>
        <w:t>aprile</w:t>
      </w:r>
      <w:r w:rsidR="00743668" w:rsidRPr="00207A2B">
        <w:rPr>
          <w:rFonts w:ascii="Garamond" w:eastAsia="Garamond" w:hAnsi="Garamond" w:cs="Garamond"/>
          <w:b/>
          <w:u w:val="single"/>
        </w:rPr>
        <w:t xml:space="preserve"> 2023</w:t>
      </w:r>
      <w:r>
        <w:rPr>
          <w:rFonts w:ascii="Garamond" w:eastAsia="Garamond" w:hAnsi="Garamond" w:cs="Garamond"/>
        </w:rPr>
        <w:t xml:space="preserve">. </w:t>
      </w:r>
    </w:p>
    <w:p w14:paraId="63D4D9D1" w14:textId="77777777" w:rsidR="004473DE" w:rsidRDefault="001E7A1D" w:rsidP="00743668">
      <w:pPr>
        <w:spacing w:line="280" w:lineRule="exact"/>
        <w:ind w:firstLine="708"/>
        <w:contextualSpacing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Gli articoli saranno sottoposti a </w:t>
      </w:r>
      <w:r>
        <w:rPr>
          <w:rFonts w:ascii="Garamond" w:eastAsia="Garamond" w:hAnsi="Garamond" w:cs="Garamond"/>
          <w:i/>
        </w:rPr>
        <w:t>double blind peer review</w:t>
      </w:r>
      <w:r>
        <w:rPr>
          <w:rFonts w:ascii="Garamond" w:eastAsia="Garamond" w:hAnsi="Garamond" w:cs="Garamond"/>
        </w:rPr>
        <w:t xml:space="preserve">. </w:t>
      </w:r>
    </w:p>
    <w:p w14:paraId="207D66AA" w14:textId="3E87966B" w:rsidR="001E7A1D" w:rsidRDefault="001E7A1D" w:rsidP="00743668">
      <w:pPr>
        <w:spacing w:line="280" w:lineRule="exact"/>
        <w:ind w:firstLine="708"/>
        <w:contextualSpacing/>
        <w:jc w:val="both"/>
        <w:rPr>
          <w:rFonts w:ascii="Garamond" w:eastAsia="Garamond" w:hAnsi="Garamond" w:cs="Garamond"/>
          <w:highlight w:val="yellow"/>
        </w:rPr>
      </w:pPr>
      <w:r>
        <w:rPr>
          <w:rFonts w:ascii="Garamond" w:eastAsia="Garamond" w:hAnsi="Garamond" w:cs="Garamond"/>
        </w:rPr>
        <w:t>L</w:t>
      </w:r>
      <w:r w:rsidR="00207A2B">
        <w:rPr>
          <w:rFonts w:ascii="Garamond" w:eastAsia="Garamond" w:hAnsi="Garamond" w:cs="Garamond"/>
        </w:rPr>
        <w:t xml:space="preserve">a </w:t>
      </w:r>
      <w:r w:rsidR="00207A2B" w:rsidRPr="00207A2B">
        <w:rPr>
          <w:rFonts w:ascii="Garamond" w:eastAsia="Garamond" w:hAnsi="Garamond" w:cs="Garamond"/>
          <w:u w:val="single"/>
        </w:rPr>
        <w:t>pubblicazione</w:t>
      </w:r>
      <w:r>
        <w:rPr>
          <w:rFonts w:ascii="Garamond" w:eastAsia="Garamond" w:hAnsi="Garamond" w:cs="Garamond"/>
        </w:rPr>
        <w:t xml:space="preserve"> del fascicolo </w:t>
      </w:r>
      <w:r w:rsidR="00207A2B">
        <w:rPr>
          <w:rFonts w:ascii="Garamond" w:eastAsia="Garamond" w:hAnsi="Garamond" w:cs="Garamond"/>
        </w:rPr>
        <w:t>(2023,</w:t>
      </w:r>
      <w:r w:rsidR="00287DC2">
        <w:rPr>
          <w:rFonts w:ascii="Garamond" w:eastAsia="Garamond" w:hAnsi="Garamond" w:cs="Garamond"/>
        </w:rPr>
        <w:t xml:space="preserve"> </w:t>
      </w:r>
      <w:r w:rsidR="00207A2B">
        <w:rPr>
          <w:rFonts w:ascii="Garamond" w:eastAsia="Garamond" w:hAnsi="Garamond" w:cs="Garamond"/>
        </w:rPr>
        <w:t xml:space="preserve">IX, 1) </w:t>
      </w:r>
      <w:r>
        <w:rPr>
          <w:rFonts w:ascii="Garamond" w:eastAsia="Garamond" w:hAnsi="Garamond" w:cs="Garamond"/>
        </w:rPr>
        <w:t xml:space="preserve">è prevista per </w:t>
      </w:r>
      <w:r w:rsidR="00743668" w:rsidRPr="00207A2B">
        <w:rPr>
          <w:rFonts w:ascii="Garamond" w:eastAsia="Garamond" w:hAnsi="Garamond" w:cs="Garamond"/>
          <w:b/>
          <w:u w:val="single"/>
        </w:rPr>
        <w:t>settembre 2023</w:t>
      </w:r>
      <w:r w:rsidR="00743668">
        <w:rPr>
          <w:rFonts w:ascii="Garamond" w:eastAsia="Garamond" w:hAnsi="Garamond" w:cs="Garamond"/>
          <w:highlight w:val="yellow"/>
        </w:rPr>
        <w:t>.</w:t>
      </w:r>
    </w:p>
    <w:p w14:paraId="4AB65173" w14:textId="77777777" w:rsidR="001E7A1D" w:rsidRDefault="001E7A1D" w:rsidP="00222E1E">
      <w:pPr>
        <w:spacing w:after="120"/>
        <w:rPr>
          <w:rFonts w:ascii="Garamond" w:hAnsi="Garamond"/>
          <w:color w:val="000000" w:themeColor="text1"/>
          <w:sz w:val="20"/>
          <w:szCs w:val="20"/>
          <w:lang w:val="fr-FR"/>
        </w:rPr>
      </w:pPr>
    </w:p>
    <w:p w14:paraId="21AEE757" w14:textId="3051A13A" w:rsidR="00153EBE" w:rsidRPr="0068175C" w:rsidRDefault="00153EBE" w:rsidP="00222E1E">
      <w:pPr>
        <w:spacing w:after="120"/>
        <w:rPr>
          <w:rFonts w:ascii="Garamond" w:hAnsi="Garamond"/>
          <w:b/>
          <w:color w:val="000000" w:themeColor="text1"/>
          <w:u w:val="single"/>
          <w:lang w:val="fr-FR"/>
        </w:rPr>
      </w:pPr>
      <w:r w:rsidRPr="0068175C">
        <w:rPr>
          <w:rFonts w:ascii="Garamond" w:hAnsi="Garamond"/>
          <w:b/>
          <w:color w:val="000000" w:themeColor="text1"/>
          <w:u w:val="single"/>
          <w:lang w:val="fr-FR"/>
        </w:rPr>
        <w:t xml:space="preserve">Alcuni riferimenti </w:t>
      </w:r>
      <w:proofErr w:type="gramStart"/>
      <w:r w:rsidRPr="0068175C">
        <w:rPr>
          <w:rFonts w:ascii="Garamond" w:hAnsi="Garamond"/>
          <w:b/>
          <w:color w:val="000000" w:themeColor="text1"/>
          <w:u w:val="single"/>
          <w:lang w:val="fr-FR"/>
        </w:rPr>
        <w:t>bibliografici:</w:t>
      </w:r>
      <w:proofErr w:type="gramEnd"/>
      <w:r w:rsidRPr="0068175C">
        <w:rPr>
          <w:rFonts w:ascii="Garamond" w:hAnsi="Garamond"/>
          <w:b/>
          <w:color w:val="000000" w:themeColor="text1"/>
          <w:u w:val="single"/>
          <w:lang w:val="fr-FR"/>
        </w:rPr>
        <w:t xml:space="preserve"> </w:t>
      </w:r>
    </w:p>
    <w:p w14:paraId="32222D1F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en-GB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Bredillet C. N., </w:t>
      </w:r>
      <w:proofErr w:type="gramStart"/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>Genesis</w:t>
      </w:r>
      <w:proofErr w:type="gramEnd"/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 xml:space="preserve"> and role of standards: theoretical foundations and socio-economical model for the construction and use of standards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, in "International Journal of Project Management", 21 (2003), n. 6, pp. 463-470 </w:t>
      </w:r>
    </w:p>
    <w:p w14:paraId="6429DCE5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i/>
          <w:color w:val="000000" w:themeColor="text1"/>
          <w:sz w:val="20"/>
          <w:szCs w:val="20"/>
        </w:rPr>
      </w:pPr>
      <w:r w:rsidRPr="001E7A1D">
        <w:rPr>
          <w:rFonts w:ascii="Garamond" w:hAnsi="Garamond"/>
          <w:color w:val="000000" w:themeColor="text1"/>
          <w:sz w:val="20"/>
          <w:szCs w:val="20"/>
        </w:rPr>
        <w:t xml:space="preserve">D’Errico R., Pinchera V. (a cura di), </w:t>
      </w:r>
      <w:r w:rsidRPr="001E7A1D">
        <w:rPr>
          <w:rFonts w:ascii="Garamond" w:hAnsi="Garamond"/>
          <w:i/>
          <w:color w:val="000000" w:themeColor="text1"/>
          <w:sz w:val="20"/>
          <w:szCs w:val="20"/>
        </w:rPr>
        <w:t>Cibo in età moderna e contemporanea tra produzione e consumo (secc. XVIII-XX)</w:t>
      </w:r>
      <w:r w:rsidRPr="001E7A1D">
        <w:rPr>
          <w:rFonts w:ascii="Garamond" w:hAnsi="Garamond"/>
          <w:color w:val="000000" w:themeColor="text1"/>
          <w:sz w:val="20"/>
          <w:szCs w:val="20"/>
        </w:rPr>
        <w:t>, in "RiSES. Ricerche di storia economica e sociale", 1 (2014), n. 1-2</w:t>
      </w:r>
    </w:p>
    <w:p w14:paraId="350C26D7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>Les entrepreneurs de standards</w:t>
      </w: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>, in "Entreprises et histoire", 2008, n. 51</w:t>
      </w:r>
    </w:p>
    <w:p w14:paraId="2E3AE44B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>La fabrication des normes</w:t>
      </w: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>, in "Réseaux", 18 (2000), n. 102</w:t>
      </w:r>
    </w:p>
    <w:p w14:paraId="2454D116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en-GB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Guillem-Llobat X.,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>The boundaries of fraud: the role of the Spanish Real Academia de Medicina in the establishment of food safety and quality standards in the late nineteenth century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>, in "Dynamis", 37 (2017), n. 2, pp. 413-434</w:t>
      </w:r>
    </w:p>
    <w:p w14:paraId="64E6098A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Guillem-Llobat X.,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 xml:space="preserve">The Search for International Food Safety Regulation.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>From the Commission Internationale pour la répression des falsifications to the Société universelle de la Croix Blanche (1879-1909)</w:t>
      </w: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>, in "Social History of Medicine", 27 (2014), n. 3, pp. 419-439</w:t>
      </w:r>
    </w:p>
    <w:p w14:paraId="6808D716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en-GB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Hierholzer V.,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>Searching for the Best Standard: Different Strategies of Food Regulation during German Industrialization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>, in "Food &amp; History", 5 (2007), n. 2, pp. 295-318</w:t>
      </w:r>
    </w:p>
    <w:p w14:paraId="36304CAC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en-GB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Mattli W., Büthe T.,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 xml:space="preserve">Setting International Standards: Technological Rationality or Primacy of </w:t>
      </w:r>
      <w:proofErr w:type="gramStart"/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>Power?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>,</w:t>
      </w:r>
      <w:proofErr w:type="gramEnd"/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 In "World Politics", 56 (2003), n. 1, pp. 1-42</w:t>
      </w:r>
    </w:p>
    <w:p w14:paraId="75FA289D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>McCraw T.K.,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 xml:space="preserve"> Prophets of </w:t>
      </w:r>
      <w:proofErr w:type="gramStart"/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>regulation:</w:t>
      </w:r>
      <w:proofErr w:type="gramEnd"/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 xml:space="preserve"> Charles Francis Adams, Louis D. Brandeis, James M. Landis, Alfred E. Kahn</w:t>
      </w: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>, Cambridge, Harvard University Press, 1984</w:t>
      </w:r>
    </w:p>
    <w:p w14:paraId="18F50FD7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 xml:space="preserve">Stanziani A. (a cura di),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>La qualité des produits en France, XVIIIe-XXe siècles</w:t>
      </w: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>, Paris, Belin, 2003</w:t>
      </w:r>
    </w:p>
    <w:p w14:paraId="0C6D67E0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 xml:space="preserve">Stanziani A.,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fr-FR"/>
        </w:rPr>
        <w:t>Histoire de la qualité alimentaire. France, XIXe-XXe siècle</w:t>
      </w: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 xml:space="preserve">, </w:t>
      </w:r>
      <w:r w:rsidRPr="001E7A1D">
        <w:rPr>
          <w:rFonts w:ascii="Garamond" w:hAnsi="Garamond"/>
          <w:color w:val="000000" w:themeColor="text1"/>
          <w:sz w:val="20"/>
          <w:szCs w:val="20"/>
          <w:shd w:val="clear" w:color="auto" w:fill="FFFFFF"/>
          <w:lang w:val="fr-FR"/>
        </w:rPr>
        <w:t>Seuil, Liber, 2005</w:t>
      </w:r>
    </w:p>
    <w:p w14:paraId="5C36BBC3" w14:textId="77777777" w:rsidR="00153EBE" w:rsidRPr="001E7A1D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fr-FR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fr-FR"/>
        </w:rPr>
        <w:t xml:space="preserve">Stanziani A., </w:t>
      </w:r>
      <w:r w:rsidRPr="001E7A1D">
        <w:rPr>
          <w:rFonts w:ascii="Garamond" w:hAnsi="Garamond"/>
          <w:i/>
          <w:color w:val="000000" w:themeColor="text1"/>
          <w:sz w:val="20"/>
          <w:szCs w:val="20"/>
          <w:shd w:val="clear" w:color="auto" w:fill="FFFFFF"/>
          <w:lang w:val="fr-FR"/>
        </w:rPr>
        <w:t>Les signes de qualité. Normes, réputation et confiance (XIXe-XXe siècles)</w:t>
      </w:r>
      <w:r w:rsidRPr="001E7A1D">
        <w:rPr>
          <w:rFonts w:ascii="Garamond" w:hAnsi="Garamond"/>
          <w:color w:val="000000" w:themeColor="text1"/>
          <w:sz w:val="20"/>
          <w:szCs w:val="20"/>
          <w:shd w:val="clear" w:color="auto" w:fill="FFFFFF"/>
          <w:lang w:val="fr-FR"/>
        </w:rPr>
        <w:t>, in "</w:t>
      </w:r>
      <w:r w:rsidRPr="001E7A1D">
        <w:rPr>
          <w:rStyle w:val="Enfasicorsivo"/>
          <w:rFonts w:ascii="Garamond" w:hAnsi="Garamond"/>
          <w:color w:val="000000" w:themeColor="text1"/>
          <w:sz w:val="20"/>
          <w:szCs w:val="20"/>
          <w:shd w:val="clear" w:color="auto" w:fill="FFFFFF"/>
          <w:lang w:val="fr-FR"/>
        </w:rPr>
        <w:t>Revue de synthèse"</w:t>
      </w:r>
      <w:r w:rsidRPr="001E7A1D">
        <w:rPr>
          <w:rFonts w:ascii="Garamond" w:hAnsi="Garamond"/>
          <w:color w:val="000000" w:themeColor="text1"/>
          <w:sz w:val="20"/>
          <w:szCs w:val="20"/>
          <w:shd w:val="clear" w:color="auto" w:fill="FFFFFF"/>
          <w:lang w:val="fr-FR"/>
        </w:rPr>
        <w:t>, 2006, n. 2, pp. 329-358</w:t>
      </w:r>
    </w:p>
    <w:p w14:paraId="3ACE1B4E" w14:textId="77777777" w:rsidR="00153EBE" w:rsidRPr="003F566F" w:rsidRDefault="00153EBE" w:rsidP="0068175C">
      <w:pPr>
        <w:spacing w:after="100"/>
        <w:ind w:left="720" w:hanging="578"/>
        <w:rPr>
          <w:rFonts w:ascii="Garamond" w:hAnsi="Garamond"/>
          <w:color w:val="000000"/>
          <w:sz w:val="20"/>
          <w:szCs w:val="20"/>
          <w:lang w:val="en-US"/>
        </w:rPr>
      </w:pPr>
      <w:r w:rsidRPr="003F566F">
        <w:rPr>
          <w:rFonts w:ascii="Garamond" w:hAnsi="Garamond"/>
          <w:color w:val="000000"/>
          <w:sz w:val="20"/>
          <w:szCs w:val="20"/>
          <w:lang w:val="en-US"/>
        </w:rPr>
        <w:t xml:space="preserve">Supiot A., </w:t>
      </w:r>
      <w:r w:rsidRPr="003F566F">
        <w:rPr>
          <w:rFonts w:ascii="Garamond" w:hAnsi="Garamond"/>
          <w:i/>
          <w:color w:val="000000"/>
          <w:sz w:val="20"/>
          <w:szCs w:val="20"/>
          <w:lang w:val="en-US"/>
        </w:rPr>
        <w:t>Governance by Numbers: The Making of a Legal Model of Allegiance</w:t>
      </w:r>
      <w:r w:rsidRPr="003F566F">
        <w:rPr>
          <w:rFonts w:ascii="Garamond" w:hAnsi="Garamond"/>
          <w:color w:val="000000"/>
          <w:sz w:val="20"/>
          <w:szCs w:val="20"/>
          <w:lang w:val="en-US"/>
        </w:rPr>
        <w:t>, London, Bloomsbury, 2017 (ed. originale francese 2015)</w:t>
      </w:r>
    </w:p>
    <w:p w14:paraId="5561A5D2" w14:textId="77777777" w:rsidR="0068175C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en-GB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Swinnen J.F.M. (ed.),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 xml:space="preserve">Global Supply Chains, </w:t>
      </w:r>
      <w:proofErr w:type="gramStart"/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>Standards</w:t>
      </w:r>
      <w:proofErr w:type="gramEnd"/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 xml:space="preserve"> and the Poor. How the Globalization of Food Systems and Standards Affects Rural Development and Poverty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, </w:t>
      </w:r>
      <w:r w:rsidRPr="001E7A1D">
        <w:rPr>
          <w:rFonts w:ascii="Garamond" w:hAnsi="Garamond"/>
          <w:color w:val="000000" w:themeColor="text1"/>
          <w:sz w:val="20"/>
          <w:szCs w:val="20"/>
          <w:shd w:val="clear" w:color="auto" w:fill="FFFFFF"/>
          <w:lang w:val="en-GB"/>
        </w:rPr>
        <w:t xml:space="preserve">Wallingford - Cambridge, CABI, 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>2007</w:t>
      </w:r>
    </w:p>
    <w:p w14:paraId="1F10B240" w14:textId="1E235E54" w:rsidR="00AE22C5" w:rsidRPr="0068175C" w:rsidRDefault="00153EBE" w:rsidP="0068175C">
      <w:pPr>
        <w:spacing w:after="100"/>
        <w:ind w:left="720" w:hanging="578"/>
        <w:rPr>
          <w:rFonts w:ascii="Garamond" w:hAnsi="Garamond"/>
          <w:color w:val="000000" w:themeColor="text1"/>
          <w:sz w:val="20"/>
          <w:szCs w:val="20"/>
          <w:lang w:val="en-GB"/>
        </w:rPr>
      </w:pP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Yates J., Craig C.N., </w:t>
      </w:r>
      <w:r w:rsidRPr="001E7A1D">
        <w:rPr>
          <w:rFonts w:ascii="Garamond" w:hAnsi="Garamond"/>
          <w:i/>
          <w:color w:val="000000" w:themeColor="text1"/>
          <w:sz w:val="20"/>
          <w:szCs w:val="20"/>
          <w:lang w:val="en-GB"/>
        </w:rPr>
        <w:t>Coordinating International Standards: The Formation of the ISO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 xml:space="preserve">, </w:t>
      </w:r>
      <w:r w:rsidRPr="001E7A1D">
        <w:rPr>
          <w:rFonts w:ascii="Garamond" w:hAnsi="Garamond"/>
          <w:color w:val="000000" w:themeColor="text1"/>
          <w:sz w:val="20"/>
          <w:szCs w:val="20"/>
          <w:shd w:val="clear" w:color="auto" w:fill="FFFFFF"/>
          <w:lang w:val="en-GB"/>
        </w:rPr>
        <w:t xml:space="preserve">Cambridge, </w:t>
      </w:r>
      <w:r w:rsidRPr="001E7A1D">
        <w:rPr>
          <w:rFonts w:ascii="Garamond" w:hAnsi="Garamond"/>
          <w:color w:val="000000" w:themeColor="text1"/>
          <w:sz w:val="20"/>
          <w:szCs w:val="20"/>
          <w:lang w:val="en-GB"/>
        </w:rPr>
        <w:t>MIT Sloan School of Management, 2007</w:t>
      </w:r>
    </w:p>
    <w:sectPr w:rsidR="00AE22C5" w:rsidRPr="0068175C" w:rsidSect="006817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134" w:bottom="993" w:left="1134" w:header="284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04CF" w14:textId="77777777" w:rsidR="006D7D60" w:rsidRDefault="006D7D60">
      <w:r>
        <w:separator/>
      </w:r>
    </w:p>
  </w:endnote>
  <w:endnote w:type="continuationSeparator" w:id="0">
    <w:p w14:paraId="4949AC27" w14:textId="77777777" w:rsidR="006D7D60" w:rsidRDefault="006D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D57B" w14:textId="77777777" w:rsidR="00287DC2" w:rsidRDefault="00287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C9BF" w14:textId="77777777" w:rsidR="00287DC2" w:rsidRDefault="00287DC2">
    <w:pPr>
      <w:ind w:right="-285"/>
      <w:jc w:val="center"/>
      <w:rPr>
        <w:rFonts w:ascii="Calibri" w:eastAsia="Calibri" w:hAnsi="Calibri" w:cs="Calibri"/>
        <w:sz w:val="20"/>
        <w:szCs w:val="20"/>
      </w:rPr>
    </w:pPr>
  </w:p>
  <w:p w14:paraId="066B9B92" w14:textId="7C9A78E7" w:rsidR="00287DC2" w:rsidRDefault="00287DC2" w:rsidP="00871009">
    <w:pPr>
      <w:spacing w:after="80"/>
      <w:ind w:right="-284"/>
      <w:jc w:val="center"/>
      <w:rPr>
        <w:color w:val="000000"/>
      </w:rPr>
    </w:pPr>
    <w:r>
      <w:rPr>
        <w:rFonts w:ascii="Calibri" w:eastAsia="Calibri" w:hAnsi="Calibri" w:cs="Calibri"/>
        <w:sz w:val="20"/>
        <w:szCs w:val="20"/>
      </w:rPr>
      <w:t xml:space="preserve">Redazione scientifica: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redazione.rises@gmail.com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278" w14:textId="77777777" w:rsidR="00287DC2" w:rsidRDefault="00287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C357" w14:textId="77777777" w:rsidR="006D7D60" w:rsidRDefault="006D7D60">
      <w:r>
        <w:separator/>
      </w:r>
    </w:p>
  </w:footnote>
  <w:footnote w:type="continuationSeparator" w:id="0">
    <w:p w14:paraId="129BE8F1" w14:textId="77777777" w:rsidR="006D7D60" w:rsidRDefault="006D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0C45" w14:textId="77777777" w:rsidR="00287DC2" w:rsidRDefault="00287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606" w14:textId="77777777" w:rsidR="00287DC2" w:rsidRDefault="00287DC2">
    <w:pPr>
      <w:jc w:val="center"/>
      <w:rPr>
        <w:rFonts w:ascii="Calibri" w:eastAsia="Calibri" w:hAnsi="Calibri" w:cs="Calibri"/>
        <w:b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7A9E506D" wp14:editId="26806008">
              <wp:simplePos x="0" y="0"/>
              <wp:positionH relativeFrom="page">
                <wp:posOffset>6757988</wp:posOffset>
              </wp:positionH>
              <wp:positionV relativeFrom="page">
                <wp:posOffset>446088</wp:posOffset>
              </wp:positionV>
              <wp:extent cx="85725" cy="18478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370"/>
                        <a:ext cx="7620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F0E541" w14:textId="77777777" w:rsidR="00287DC2" w:rsidRDefault="00287D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9E506D" id="Rettangolo 1" o:spid="_x0000_s1026" style="position:absolute;left:0;text-align:left;margin-left:532.15pt;margin-top:35.15pt;width:6.75pt;height:14.5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" stroked="f">
              <v:textbox inset="2.53958mm,2.53958mm,2.53958mm,2.53958mm">
                <w:txbxContent>
                  <w:p w14:paraId="25F0E541" w14:textId="77777777" w:rsidR="00287DC2" w:rsidRDefault="00287DC2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b/>
        <w:sz w:val="56"/>
        <w:szCs w:val="56"/>
      </w:rPr>
      <w:t>RiSES</w:t>
    </w:r>
  </w:p>
  <w:p w14:paraId="3D82442B" w14:textId="77777777" w:rsidR="00287DC2" w:rsidRDefault="00287DC2">
    <w:pPr>
      <w:spacing w:after="80"/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RICERCHE DI STORIA ECONOMICA E SOCIALE</w:t>
    </w:r>
  </w:p>
  <w:p w14:paraId="65F7B9C1" w14:textId="3F90D2BF" w:rsidR="00287DC2" w:rsidRPr="003F566F" w:rsidRDefault="00287DC2">
    <w:pPr>
      <w:spacing w:after="80"/>
      <w:jc w:val="center"/>
      <w:rPr>
        <w:rFonts w:ascii="Calibri" w:eastAsia="Calibri" w:hAnsi="Calibri" w:cs="Calibri"/>
        <w:b/>
        <w:sz w:val="32"/>
        <w:szCs w:val="32"/>
        <w:lang w:val="en-US"/>
      </w:rPr>
    </w:pPr>
    <w:r w:rsidRPr="003F566F">
      <w:rPr>
        <w:rFonts w:ascii="Calibri" w:eastAsia="Calibri" w:hAnsi="Calibri" w:cs="Calibri"/>
        <w:b/>
        <w:sz w:val="32"/>
        <w:szCs w:val="32"/>
        <w:lang w:val="en-US"/>
      </w:rPr>
      <w:t>Journal of Economic and Social History</w:t>
    </w:r>
  </w:p>
  <w:p w14:paraId="02705B86" w14:textId="13BAC444" w:rsidR="00287DC2" w:rsidRPr="00871009" w:rsidRDefault="00287DC2" w:rsidP="008710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30C" w14:textId="77777777" w:rsidR="00287DC2" w:rsidRDefault="00287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E9D"/>
    <w:multiLevelType w:val="hybridMultilevel"/>
    <w:tmpl w:val="D0B66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5100"/>
    <w:multiLevelType w:val="hybridMultilevel"/>
    <w:tmpl w:val="7D42F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6226"/>
    <w:multiLevelType w:val="hybridMultilevel"/>
    <w:tmpl w:val="34261F08"/>
    <w:lvl w:ilvl="0" w:tplc="942A7D56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472784">
    <w:abstractNumId w:val="2"/>
  </w:num>
  <w:num w:numId="2" w16cid:durableId="1665015826">
    <w:abstractNumId w:val="1"/>
  </w:num>
  <w:num w:numId="3" w16cid:durableId="180002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2C5"/>
    <w:rsid w:val="00041FA5"/>
    <w:rsid w:val="00092BE2"/>
    <w:rsid w:val="00153EBE"/>
    <w:rsid w:val="001959D2"/>
    <w:rsid w:val="001E7A1D"/>
    <w:rsid w:val="00207A2B"/>
    <w:rsid w:val="00222E1E"/>
    <w:rsid w:val="00287DC2"/>
    <w:rsid w:val="003B42D3"/>
    <w:rsid w:val="003C2E0A"/>
    <w:rsid w:val="003F566F"/>
    <w:rsid w:val="004473DE"/>
    <w:rsid w:val="00457B8D"/>
    <w:rsid w:val="00502676"/>
    <w:rsid w:val="00555996"/>
    <w:rsid w:val="0068175C"/>
    <w:rsid w:val="006D7D60"/>
    <w:rsid w:val="00743668"/>
    <w:rsid w:val="007A6709"/>
    <w:rsid w:val="008529DB"/>
    <w:rsid w:val="00871009"/>
    <w:rsid w:val="00972863"/>
    <w:rsid w:val="009A24CF"/>
    <w:rsid w:val="009A688F"/>
    <w:rsid w:val="009C3DEB"/>
    <w:rsid w:val="009F3E27"/>
    <w:rsid w:val="00AE22C5"/>
    <w:rsid w:val="00B95F8B"/>
    <w:rsid w:val="00DF52A6"/>
    <w:rsid w:val="00E068FC"/>
    <w:rsid w:val="00F30046"/>
    <w:rsid w:val="00FC2F32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24EBB"/>
  <w15:docId w15:val="{43536C27-C9D9-4080-9642-27BC663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D6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rsid w:val="00F94B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color w:val="000000"/>
      <w:u w:color="00000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4B17"/>
    <w:rPr>
      <w:rFonts w:eastAsia="Arial Unicode MS" w:cs="Times New Roman"/>
      <w:color w:val="000000"/>
      <w:u w:color="000000"/>
      <w:lang w:val="en-GB" w:eastAsia="en-GB"/>
    </w:rPr>
  </w:style>
  <w:style w:type="character" w:styleId="Rimandonotaapidipagina">
    <w:name w:val="footnote reference"/>
    <w:basedOn w:val="Carpredefinitoparagrafo"/>
    <w:uiPriority w:val="99"/>
    <w:rsid w:val="00F94B1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64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5C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4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30B"/>
  </w:style>
  <w:style w:type="paragraph" w:styleId="Pidipagina">
    <w:name w:val="footer"/>
    <w:basedOn w:val="Normale"/>
    <w:link w:val="PidipaginaCarattere"/>
    <w:uiPriority w:val="99"/>
    <w:unhideWhenUsed/>
    <w:rsid w:val="002C4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30B"/>
  </w:style>
  <w:style w:type="character" w:customStyle="1" w:styleId="Hyperlink0">
    <w:name w:val="Hyperlink.0"/>
    <w:basedOn w:val="Carpredefinitoparagrafo"/>
    <w:rsid w:val="00633873"/>
    <w:rPr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24C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153EB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2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azione.rises@gmai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abio.lavista@unipi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anpiero.fumi@unicat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rise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YAcgBSiqNvr3CrgH/gF2XTEIA==">AMUW2mV+IfWkFEhDDc2IBdPjmC/8Z/g33NrhDQWOACIYPESZvpek1pbAC8rcea2DizHrKVjldOfhnT73HHlZ0b1OG2ntiLYIFctMdTe5SRH126UYpuHhelk=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58D0DF0B4254E810C7E2CD462B48D" ma:contentTypeVersion="14" ma:contentTypeDescription="Creare un nuovo documento." ma:contentTypeScope="" ma:versionID="ea833e9ac6b977a492211ad0ca2dead2">
  <xsd:schema xmlns:xsd="http://www.w3.org/2001/XMLSchema" xmlns:xs="http://www.w3.org/2001/XMLSchema" xmlns:p="http://schemas.microsoft.com/office/2006/metadata/properties" xmlns:ns3="03aaa1a9-d627-43d8-9c25-125d861f1890" xmlns:ns4="4345d43a-acc9-4ada-9435-a3456e481d8c" targetNamespace="http://schemas.microsoft.com/office/2006/metadata/properties" ma:root="true" ma:fieldsID="2cead29544c6ace158b282fe1123bc6d" ns3:_="" ns4:_="">
    <xsd:import namespace="03aaa1a9-d627-43d8-9c25-125d861f1890"/>
    <xsd:import namespace="4345d43a-acc9-4ada-9435-a3456e481d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a1a9-d627-43d8-9c25-125d861f1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43a-acc9-4ada-9435-a3456e481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BB621-E592-42DD-BB67-CF6C38337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3EFFD37-87E7-4D22-9DCC-8D7653A3F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a1a9-d627-43d8-9c25-125d861f1890"/>
    <ds:schemaRef ds:uri="4345d43a-acc9-4ada-9435-a3456e481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FCA95-9CC8-48B9-9108-F8E19976F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Caracausi Andrea</cp:lastModifiedBy>
  <cp:revision>8</cp:revision>
  <cp:lastPrinted>2022-08-10T18:03:00Z</cp:lastPrinted>
  <dcterms:created xsi:type="dcterms:W3CDTF">2022-08-10T13:55:00Z</dcterms:created>
  <dcterms:modified xsi:type="dcterms:W3CDTF">2022-10-10T16:18:00Z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0x01010040C58D0DF0B4254E810C7E2CD462B48D</vt:lpwstr>
  </property>
</Properties>
</file>